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F176A" w:rsidRPr="009F176A" w:rsidRDefault="009F176A" w:rsidP="00A3350A">
      <w:pPr>
        <w:rPr>
          <w:b/>
        </w:rPr>
      </w:pPr>
      <w:r w:rsidRPr="009F176A">
        <w:rPr>
          <w:b/>
        </w:rPr>
        <w:t>Consignes générales :</w:t>
      </w:r>
    </w:p>
    <w:p w:rsidR="009F176A" w:rsidRDefault="009F176A" w:rsidP="00A3350A">
      <w:r>
        <w:t>-Améliorer la présentation de ce document en suivant les indications données dans les commentaires.</w:t>
      </w:r>
    </w:p>
    <w:p w:rsidR="009F176A" w:rsidRDefault="009F176A" w:rsidP="00A3350A">
      <w:r>
        <w:t>-Réaliser la table des matières à la fin du document (ceci se fait automatiquement grâce aux styles)</w:t>
      </w:r>
    </w:p>
    <w:p w:rsidR="009F176A" w:rsidRDefault="009F176A" w:rsidP="00A3350A">
      <w:r>
        <w:t>-Insérer vos commentaires pour améliorer encore la présentation.</w:t>
      </w:r>
    </w:p>
    <w:p w:rsidR="009F176A" w:rsidRDefault="009F176A" w:rsidP="00A3350A">
      <w:r>
        <w:t>-Enregistrer la version ainsi obtenue sur votre espace personnel</w:t>
      </w:r>
      <w:r w:rsidR="002A220C">
        <w:t xml:space="preserve"> ou dans un dossier partagé</w:t>
      </w:r>
      <w:r>
        <w:t>, et faites les modifications sur le document d’un de vos camarades.</w:t>
      </w:r>
    </w:p>
    <w:p w:rsidR="009F176A" w:rsidRDefault="009F176A" w:rsidP="00A3350A"/>
    <w:p w:rsidR="00A3350A" w:rsidRPr="00A3350A" w:rsidRDefault="00A3350A" w:rsidP="00A3350A">
      <w:commentRangeStart w:id="0"/>
      <w:r w:rsidRPr="00A3350A">
        <w:t>L’empire athénien</w:t>
      </w:r>
      <w:commentRangeEnd w:id="0"/>
      <w:r>
        <w:rPr>
          <w:rStyle w:val="Marquedannotation"/>
          <w:vanish/>
        </w:rPr>
        <w:commentReference w:id="0"/>
      </w:r>
    </w:p>
    <w:p w:rsidR="00A3350A" w:rsidRPr="00A3350A" w:rsidRDefault="00A3350A" w:rsidP="000A574E">
      <w:r w:rsidRPr="00A3350A">
        <w:t>Ve siècle. Evénement majeur : montée en puissance d’Athènes et construction d’un « empire », parti d’une alliance militaire (symmachie). Pas de terme grec pour empire. Parlent aussi d’archè (le commandement) pour parler de cet empire.</w:t>
      </w:r>
    </w:p>
    <w:p w:rsidR="00A3350A" w:rsidRPr="00A3350A" w:rsidRDefault="00A3350A" w:rsidP="00A3350A"/>
    <w:p w:rsidR="00A3350A" w:rsidRPr="00A3350A" w:rsidRDefault="00A3350A" w:rsidP="000A574E">
      <w:r w:rsidRPr="00A3350A">
        <w:t>Discussion entre historiens sur la légitimité d’appeler « Empire » la position d’Athènes au Ve siècle. Débat faisant partie du débat historiographique sur la manière d’interpréter l’économie du monde grec antique. cf cours sur l’historiographie. cf Préface de Claude Mossé à la réédition de Finley, Economie et société, et présentation du sujet au concours dans Pallas.</w:t>
      </w:r>
    </w:p>
    <w:p w:rsidR="00A3350A" w:rsidRPr="00A3350A" w:rsidRDefault="00A3350A" w:rsidP="00A3350A"/>
    <w:p w:rsidR="00A3350A" w:rsidRPr="00A3350A" w:rsidRDefault="00A3350A" w:rsidP="00A3350A">
      <w:r w:rsidRPr="00A3350A">
        <w:t>Def de Finley de l’empire : exercice durable par un état d’une autorité ou d’un pouvoir ou d’un contrôle sur un ou plusieurs états ou communautés ou peuples.</w:t>
      </w:r>
    </w:p>
    <w:p w:rsidR="00A3350A" w:rsidRPr="00A3350A" w:rsidRDefault="00A3350A" w:rsidP="00A3350A">
      <w:r w:rsidRPr="00A3350A">
        <w:t>Définition simpliste pour plusieurs historiens.</w:t>
      </w:r>
    </w:p>
    <w:p w:rsidR="00A3350A" w:rsidRPr="00A3350A" w:rsidRDefault="00A3350A" w:rsidP="00A3350A">
      <w:r w:rsidRPr="00A3350A">
        <w:t xml:space="preserve">Def pour les empires modernes ou contemporains, de Jean Tulard dans </w:t>
      </w:r>
      <w:commentRangeStart w:id="1"/>
      <w:r w:rsidRPr="00A3350A">
        <w:t xml:space="preserve">Sirinelli (dir.), </w:t>
      </w:r>
      <w:r w:rsidRPr="00A3350A">
        <w:rPr>
          <w:i/>
        </w:rPr>
        <w:t>Les empires occidentaux de Rome à Berlin</w:t>
      </w:r>
      <w:r>
        <w:t>, Paris, PUF, 1987.</w:t>
      </w:r>
      <w:commentRangeEnd w:id="1"/>
      <w:r>
        <w:rPr>
          <w:rStyle w:val="Marquedannotation"/>
          <w:vanish/>
        </w:rPr>
        <w:commentReference w:id="1"/>
      </w:r>
    </w:p>
    <w:p w:rsidR="00A3350A" w:rsidRPr="00A3350A" w:rsidRDefault="00A3350A" w:rsidP="00A3350A">
      <w:r w:rsidRPr="00A3350A">
        <w:t>5 traits :</w:t>
      </w:r>
    </w:p>
    <w:p w:rsidR="00A3350A" w:rsidRPr="00A3350A" w:rsidRDefault="00A3350A" w:rsidP="00A3350A">
      <w:commentRangeStart w:id="2"/>
      <w:r w:rsidRPr="00A3350A">
        <w:t>-un espace : rassemble des pays, surveille des frontières, veut s’étendre</w:t>
      </w:r>
    </w:p>
    <w:p w:rsidR="00A3350A" w:rsidRPr="00A3350A" w:rsidRDefault="00A3350A" w:rsidP="00A3350A">
      <w:r w:rsidRPr="00A3350A">
        <w:t>-l’organisation de cet espace, par la centralisation</w:t>
      </w:r>
    </w:p>
    <w:p w:rsidR="00A3350A" w:rsidRPr="00A3350A" w:rsidRDefault="00A3350A" w:rsidP="00A3350A">
      <w:r w:rsidRPr="00A3350A">
        <w:t>-les peuples de cet espace doivent être unis. Nature politique et fiscale de cet union essentielle</w:t>
      </w:r>
    </w:p>
    <w:p w:rsidR="00A3350A" w:rsidRPr="00A3350A" w:rsidRDefault="00A3350A" w:rsidP="00A3350A">
      <w:r w:rsidRPr="00A3350A">
        <w:t>-Fondé sur une civilisation, ce sont des barbares à l’exterieur</w:t>
      </w:r>
    </w:p>
    <w:p w:rsidR="00A3350A" w:rsidRPr="00A3350A" w:rsidRDefault="00A3350A" w:rsidP="00A3350A">
      <w:r w:rsidRPr="00A3350A">
        <w:t>-L’empire est mortel</w:t>
      </w:r>
    </w:p>
    <w:commentRangeEnd w:id="2"/>
    <w:p w:rsidR="00A3350A" w:rsidRPr="00A3350A" w:rsidRDefault="002A220C" w:rsidP="00A3350A">
      <w:r>
        <w:rPr>
          <w:rStyle w:val="Marquedannotation"/>
          <w:vanish/>
        </w:rPr>
        <w:commentReference w:id="2"/>
      </w:r>
    </w:p>
    <w:p w:rsidR="00A3350A" w:rsidRPr="00A3350A" w:rsidRDefault="00A3350A" w:rsidP="00A3350A">
      <w:r w:rsidRPr="00A3350A">
        <w:t>Est-ce que l’empire athénien n’est pas l’empire oublié de l’historiographie ?</w:t>
      </w:r>
    </w:p>
    <w:p w:rsidR="00A3350A" w:rsidRPr="00A3350A" w:rsidRDefault="00A3350A" w:rsidP="00A3350A">
      <w:r w:rsidRPr="00A3350A">
        <w:t>cf Christophe Pebarthe, « Quand Athènes dominait le monde grec : l’empire oublié »</w:t>
      </w:r>
    </w:p>
    <w:p w:rsidR="00A3350A" w:rsidRPr="00A3350A" w:rsidRDefault="00A3350A" w:rsidP="00A3350A">
      <w:commentRangeStart w:id="3"/>
      <w:r w:rsidRPr="00A3350A">
        <w:t xml:space="preserve">A paraître dans </w:t>
      </w:r>
      <w:r>
        <w:t xml:space="preserve">Hurlet (éd.), </w:t>
      </w:r>
      <w:r w:rsidRPr="00A3350A">
        <w:rPr>
          <w:i/>
        </w:rPr>
        <w:t>Les Empires aux époques antique et médiévale</w:t>
      </w:r>
      <w:r w:rsidRPr="00A3350A">
        <w:t xml:space="preserve">, </w:t>
      </w:r>
      <w:r>
        <w:t>Rennes, PUR</w:t>
      </w:r>
      <w:r w:rsidRPr="00A3350A">
        <w:t>, 2007.</w:t>
      </w:r>
      <w:commentRangeEnd w:id="3"/>
      <w:r>
        <w:rPr>
          <w:rStyle w:val="Marquedannotation"/>
          <w:vanish/>
        </w:rPr>
        <w:commentReference w:id="3"/>
      </w:r>
    </w:p>
    <w:p w:rsidR="00A3350A" w:rsidRPr="00A3350A" w:rsidRDefault="00A3350A" w:rsidP="00A3350A"/>
    <w:p w:rsidR="00A3350A" w:rsidRPr="00A3350A" w:rsidRDefault="00A3350A" w:rsidP="00A3350A">
      <w:r w:rsidRPr="00A3350A">
        <w:t>Caractère économique d’un empire ?</w:t>
      </w:r>
    </w:p>
    <w:p w:rsidR="00A3350A" w:rsidRPr="00A3350A" w:rsidRDefault="00A3350A" w:rsidP="00A3350A">
      <w:r w:rsidRPr="00A3350A">
        <w:t>L’archè athénienne, d’après Thucidide et les historiens du Ve siècle, aurait pour finalité la puissance et la gloire d’Athènes. Pour les empires contemporains, on met en avant leur volonté d’exploitation économique.</w:t>
      </w:r>
    </w:p>
    <w:p w:rsidR="00A3350A" w:rsidRPr="00A3350A" w:rsidRDefault="00A3350A" w:rsidP="00A3350A">
      <w:r w:rsidRPr="00A3350A">
        <w:t>La tendance historiographique actuelle est de ne pas négliger les aspects économiques de l’archè athénienne. Il est vain d’opposer les dimensions politique et économique de cet empire.</w:t>
      </w:r>
    </w:p>
    <w:p w:rsidR="00A3350A" w:rsidRPr="00A3350A" w:rsidRDefault="00A3350A" w:rsidP="00A3350A"/>
    <w:p w:rsidR="00A3350A" w:rsidRPr="00A3350A" w:rsidRDefault="00A3350A" w:rsidP="00A3350A">
      <w:commentRangeStart w:id="4"/>
      <w:r w:rsidRPr="00A3350A">
        <w:t>I) La formation de la symmachie</w:t>
      </w:r>
      <w:commentRangeEnd w:id="4"/>
      <w:r>
        <w:rPr>
          <w:rStyle w:val="Marquedannotation"/>
          <w:vanish/>
        </w:rPr>
        <w:commentReference w:id="4"/>
      </w:r>
    </w:p>
    <w:p w:rsidR="00A3350A" w:rsidRPr="00A3350A" w:rsidRDefault="00A3350A" w:rsidP="00A3350A">
      <w:commentRangeStart w:id="5"/>
      <w:r w:rsidRPr="00A3350A">
        <w:t>1) Origines</w:t>
      </w:r>
      <w:commentRangeEnd w:id="5"/>
      <w:r>
        <w:rPr>
          <w:rStyle w:val="Marquedannotation"/>
          <w:vanish/>
        </w:rPr>
        <w:commentReference w:id="5"/>
      </w:r>
    </w:p>
    <w:p w:rsidR="00A3350A" w:rsidRPr="00A3350A" w:rsidRDefault="00A3350A" w:rsidP="00A3350A">
      <w:r w:rsidRPr="00A3350A">
        <w:t>Fin de la seconde guerre médique (Victoires de Platée, 479, et du cap Mycale), les hostilités avec les Perses ne sont pas finies. Athènes prend alors la tête d’une alliance militaire (symmachie : combatre ensemble) et devient l’hégémôn de cette alliance. Sparte préfère ne pas poursuivre la guerre hors de Grèce.</w:t>
      </w:r>
    </w:p>
    <w:p w:rsidR="00A3350A" w:rsidRPr="00A3350A" w:rsidRDefault="00A3350A" w:rsidP="00A3350A">
      <w:r w:rsidRPr="00A3350A">
        <w:t xml:space="preserve">Pourquoi Athènes ? Cité de médiocre importance à l’époque archaïque. Mais elle a acquis un prestige après des autres cités au cours des guerres médiques. Elle a combattu presque seule les Perses à Marathon (490), et elle a dirigé la stratégie à Salamine (480). Son prestige est récent, et du à son engagement dans la guerre. </w:t>
      </w:r>
    </w:p>
    <w:p w:rsidR="00A3350A" w:rsidRPr="00A3350A" w:rsidRDefault="00A3350A" w:rsidP="00A3350A">
      <w:r w:rsidRPr="00A3350A">
        <w:t>En même temps, elle a commencé à constituer une flotte, instrument indispensable pour poursuivre la guerre sur mer contre les Perses et pour porter la guerre sur les côtes perses d’Asie mineure. Le début de la constitution de cette flotte remonte à 483-2, sur une proposition de l’athénien Thémistocle d’utiliser les revenus des mines de plomb argentifère d’Attique (mont Laurion) pour construire cette flotte. La flotte compte 200 trières. L’argent était auparavant redistribué entre les citoyens athéniens.</w:t>
      </w:r>
    </w:p>
    <w:p w:rsidR="00A3350A" w:rsidRPr="00A3350A" w:rsidRDefault="00A3350A" w:rsidP="00A3350A"/>
    <w:p w:rsidR="00A3350A" w:rsidRPr="00A3350A" w:rsidRDefault="00A3350A" w:rsidP="00A3350A">
      <w:commentRangeStart w:id="6"/>
      <w:r w:rsidRPr="00A3350A">
        <w:t>2) Le fonctionnement</w:t>
      </w:r>
      <w:commentRangeEnd w:id="6"/>
      <w:r>
        <w:rPr>
          <w:rStyle w:val="Marquedannotation"/>
          <w:vanish/>
        </w:rPr>
        <w:commentReference w:id="6"/>
      </w:r>
    </w:p>
    <w:p w:rsidR="00A3350A" w:rsidRPr="00A3350A" w:rsidRDefault="00A3350A" w:rsidP="00A3350A">
      <w:r w:rsidRPr="00A3350A">
        <w:t>Les conditions préalable à la formation de la Symmachie sont négociées à Byzance, sur le navire du stratège athénien Aristide, à l’été ou automne 478. Il y a des représentants de cités alliées, not. des îles d’Asie mineure : Chios, Samos, Lesbos. Des hérauts sont envoyés dans l’ensemble des cités grecques pour annoncer une réunion à Délos au début de l’été 477. Délos est choisie parce qu’elle fait partie des Cyclades (qui sont intéressées, comme les Ioniennes, par la défense contre les Perses), parce qu’elle a une position centrale, avec un port important, et parce qu’elle est le siège du sanctuaire d’Apollon, un des plus importants sanctuaires panhelléniques.</w:t>
      </w:r>
    </w:p>
    <w:p w:rsidR="00A3350A" w:rsidRPr="00A3350A" w:rsidRDefault="00A3350A" w:rsidP="00A3350A">
      <w:r w:rsidRPr="00A3350A">
        <w:t>L’alliance militaire prend le nom de ligue de Délos. Un serment est prété, inconnu aujourd’hui. Il y a débat sur son contenu. On ne sait pas si les cités ont fait serment de rester loyaux, de ne pas déserter, on ne sait pas si ils ont juré d’avoir tous les mêmes amis et ennemis (ce qui est dans la constitution athénienne d’Aristote, du IVe siècle). Y avait il une clause déterminant l’autonomie des cités ? Ce qui est sûr, rapporté par Thucydide, c’est qu’ « ils fixèrent quelles cités devaient fournir contre les barbares de l’argent ou des bateaux ». Tribut : phoros.</w:t>
      </w:r>
    </w:p>
    <w:p w:rsidR="00A3350A" w:rsidRPr="00A3350A" w:rsidRDefault="00A3350A" w:rsidP="00A3350A">
      <w:r w:rsidRPr="00A3350A">
        <w:t>Comment le tribut a-t-il été fixé ?</w:t>
      </w:r>
    </w:p>
    <w:p w:rsidR="00A3350A" w:rsidRPr="00A3350A" w:rsidRDefault="00A3350A" w:rsidP="00A3350A">
      <w:r w:rsidRPr="00A3350A">
        <w:t>Il aurait été au total de 460 talents au début [somme d’après Nixon, Price (1991) : 444 talents]. Comment a-t-il été calculé ? La perception d’une somme fixe est une nouveauté absolue dans le monde grec. Le seul modèle aurait pu être la contribution demandée aux cités grecques sujettes par les Perses. Le phoros était évalué à la fois sur les ressources foncières agricoles des cités, sur les produits des mines et de leur sous-sol, et sur leurs ressources fiscales. Ce montant est négocié entre les alliés.</w:t>
      </w:r>
    </w:p>
    <w:p w:rsidR="00A3350A" w:rsidRPr="00A3350A" w:rsidRDefault="00A3350A" w:rsidP="00A3350A">
      <w:r w:rsidRPr="00A3350A">
        <w:t xml:space="preserve">Des magistrats sont crées pour administrer ce tribut. Ils sont dès l’origine athéniens. Ce sont les hellénotames. </w:t>
      </w:r>
    </w:p>
    <w:p w:rsidR="00A3350A" w:rsidRPr="00A3350A" w:rsidRDefault="00A3350A" w:rsidP="00A3350A"/>
    <w:p w:rsidR="00A3350A" w:rsidRPr="00A3350A" w:rsidRDefault="00A3350A" w:rsidP="00A3350A">
      <w:commentRangeStart w:id="7"/>
      <w:r w:rsidRPr="00A3350A">
        <w:t>3) Les objectifs</w:t>
      </w:r>
      <w:commentRangeEnd w:id="7"/>
      <w:r>
        <w:rPr>
          <w:rStyle w:val="Marquedannotation"/>
          <w:vanish/>
        </w:rPr>
        <w:commentReference w:id="7"/>
      </w:r>
    </w:p>
    <w:p w:rsidR="00A3350A" w:rsidRPr="00A3350A" w:rsidRDefault="00A3350A" w:rsidP="00A3350A">
      <w:commentRangeStart w:id="8"/>
      <w:r w:rsidRPr="00A3350A">
        <w:t>Quel</w:t>
      </w:r>
      <w:commentRangeEnd w:id="8"/>
      <w:r w:rsidR="009F176A">
        <w:rPr>
          <w:rStyle w:val="Marquedannotation"/>
          <w:vanish/>
        </w:rPr>
        <w:commentReference w:id="8"/>
      </w:r>
      <w:r w:rsidRPr="00A3350A">
        <w:t xml:space="preserve"> est l’objectif de la symmachie en 478 ? D’après Thucydide, « la justification officielle était de ravager le pays du grand roi en représailles pour les temps subis ». Pourquoi Thucydide parle-t-il de « justification officielle » ? Les athéniens auraient alors eu un projet légèrement différent.</w:t>
      </w:r>
    </w:p>
    <w:p w:rsidR="002C3DC6" w:rsidRDefault="00A3350A" w:rsidP="00A3350A">
      <w:r w:rsidRPr="00A3350A">
        <w:t>L’alliance a un conseil (le synedrion), qui réunit les alliés (il y avait peut-être un conseil sans les Athéniens et un avec). Le modèle de ce conseil est celui de la symmachie des péloponnésiens, dirigée par Sparte. Il devait se réunir au moins une fois par an lors du versement du tribut, au moment des fêtes en l’honneur d’Apollon. A partir de 454, le trésor est transféré à Athènes et le conseil se tient à Athènes. Lors du conseil, on examinait les campagnes militaires à faire en été (on ne se bat jamais en hiver), on écoute le rapport financier des hellénotames, on sanctionne éventuellement les cités qui n’ont pas payé.</w:t>
      </w:r>
    </w:p>
    <w:p w:rsidR="00A3350A" w:rsidRPr="00A3350A" w:rsidRDefault="00A3350A" w:rsidP="00A3350A">
      <w:r w:rsidRPr="00A3350A">
        <w:t>On ne connaît pas la liste des membres de 478. Les premières listes connues remontent au milieu du Ve siècle. En 478, il devait y avoir majoritairement des cités ioniennes (de part et d’autres de l’Egée). Les iles doriennes de Thera et Melos n’en faisaient pas partie. Egine (au large d’Athènes) et Chypre faisaient peut-être partie de la Ligue. Selon certains historiens, Athènes, qui s’intéressait à la méditerranée orientale a peut-être voulu inclure Chypre, malgré son éloignement et son soutien des Perses.</w:t>
      </w:r>
    </w:p>
    <w:p w:rsidR="00A3350A" w:rsidRPr="00A3350A" w:rsidRDefault="00A3350A" w:rsidP="00A3350A"/>
    <w:p w:rsidR="00A3350A" w:rsidRPr="00A3350A" w:rsidRDefault="00A3350A" w:rsidP="00A3350A">
      <w:r w:rsidRPr="00A3350A">
        <w:t>L’alliance de 478 n’est pas bien différente des autres alliances connues du monde archaïque. La seule innovation est le phoros.</w:t>
      </w:r>
    </w:p>
    <w:p w:rsidR="00A3350A" w:rsidRPr="00A3350A" w:rsidRDefault="00A3350A" w:rsidP="00A3350A"/>
    <w:p w:rsidR="00A3350A" w:rsidRPr="00A3350A" w:rsidRDefault="00A3350A" w:rsidP="00A3350A">
      <w:commentRangeStart w:id="9"/>
      <w:commentRangeStart w:id="10"/>
      <w:r w:rsidRPr="00A3350A">
        <w:t>II</w:t>
      </w:r>
      <w:commentRangeEnd w:id="10"/>
      <w:r>
        <w:rPr>
          <w:rStyle w:val="Marquedannotation"/>
          <w:vanish/>
        </w:rPr>
        <w:commentReference w:id="10"/>
      </w:r>
      <w:r w:rsidRPr="00A3350A">
        <w:t>) Aux origines de l’archè : de la prise d’Eion à la défaite d’Egine</w:t>
      </w:r>
      <w:commentRangeEnd w:id="9"/>
      <w:r>
        <w:rPr>
          <w:rStyle w:val="Marquedannotation"/>
          <w:vanish/>
        </w:rPr>
        <w:commentReference w:id="9"/>
      </w:r>
    </w:p>
    <w:p w:rsidR="00A3350A" w:rsidRPr="00A3350A" w:rsidRDefault="00A3350A" w:rsidP="00A3350A"/>
    <w:p w:rsidR="00A3350A" w:rsidRPr="00A3350A" w:rsidRDefault="00A3350A" w:rsidP="00A3350A">
      <w:commentRangeStart w:id="11"/>
      <w:r w:rsidRPr="00A3350A">
        <w:t>1) La prise d’Eion</w:t>
      </w:r>
      <w:commentRangeEnd w:id="11"/>
      <w:r>
        <w:rPr>
          <w:rStyle w:val="Marquedannotation"/>
          <w:vanish/>
        </w:rPr>
        <w:commentReference w:id="11"/>
      </w:r>
    </w:p>
    <w:p w:rsidR="00A3350A" w:rsidRPr="00A3350A" w:rsidRDefault="00A3350A" w:rsidP="00A3350A">
      <w:r w:rsidRPr="00A3350A">
        <w:t xml:space="preserve">Entre 478 et 431 (début de la guerre du péloponnèse) selon Thucydide. Eion est une forteresse au débouché du Strion en Macédoine. Sa prise s’inscrit dans la guerre contre les Perses. Siège de l’hiver 477 à 476. Le stratége athénien Simon mène le siège. Sa victoire lui rapporte beaucoup d’honneurs, que ni Thémistocle ni Miltiade n’avaient obtenu. Cette victoire est percue comme une victoire offensive, à la différence des victoires précédentes. </w:t>
      </w:r>
    </w:p>
    <w:p w:rsidR="00A3350A" w:rsidRPr="00A3350A" w:rsidRDefault="00A3350A" w:rsidP="00A3350A">
      <w:r w:rsidRPr="00A3350A">
        <w:t>Ceci a accru la zone d’influence des Athéniens. Eion a une position stratégique : c’est un point de ravitaillement des Perses, et c’est la tête de pont de la riche région du mont Pangée (forêts, mines d’or et d’argent) en Thrace. De plus, le site contrôle la route du Pont Euxin empruntée par les convois de céréales indispensables à la survie d’Athènes. Ainsi, les Athéniens servent les intérêts de la symmachie et les leurs.</w:t>
      </w:r>
    </w:p>
    <w:p w:rsidR="00A3350A" w:rsidRPr="00A3350A" w:rsidRDefault="00A3350A" w:rsidP="00A3350A"/>
    <w:p w:rsidR="00A3350A" w:rsidRPr="00A3350A" w:rsidRDefault="00A3350A" w:rsidP="00A3350A">
      <w:commentRangeStart w:id="12"/>
      <w:r w:rsidRPr="00A3350A">
        <w:t>2) La conquète de l’ile de Skyros (c. 476)</w:t>
      </w:r>
      <w:commentRangeEnd w:id="12"/>
      <w:r>
        <w:rPr>
          <w:rStyle w:val="Marquedannotation"/>
          <w:vanish/>
        </w:rPr>
        <w:commentReference w:id="12"/>
      </w:r>
    </w:p>
    <w:p w:rsidR="00A3350A" w:rsidRPr="00A3350A" w:rsidRDefault="00A3350A" w:rsidP="00A3350A">
      <w:r w:rsidRPr="00A3350A">
        <w:t>Thucydide dit juste que la conséquence est que la population, réduite en esclavage, est mise en vente, et une colonie athénienne (une clérouquie) s’y installe. Même logique que pour Eion. Cela permet de tenir une île stratégique dans la guerre contre les Perses. C’était de plus souvent le siège de pirates. Skyros est aussi sur la route du Pont. Elle permet aussi à Simon de récupérer les ossements de Thésée et des les rammener à Athènes.</w:t>
      </w:r>
    </w:p>
    <w:p w:rsidR="00A3350A" w:rsidRPr="00A3350A" w:rsidRDefault="00A3350A" w:rsidP="00A3350A"/>
    <w:p w:rsidR="00A3350A" w:rsidRPr="00A3350A" w:rsidRDefault="00A3350A" w:rsidP="00A3350A">
      <w:commentRangeStart w:id="13"/>
      <w:r w:rsidRPr="00A3350A">
        <w:t>3) L’intégration de Carystos (au sud de l’Eubée)</w:t>
      </w:r>
      <w:commentRangeEnd w:id="13"/>
      <w:r>
        <w:rPr>
          <w:rStyle w:val="Marquedannotation"/>
          <w:vanish/>
        </w:rPr>
        <w:commentReference w:id="13"/>
      </w:r>
    </w:p>
    <w:p w:rsidR="00A3350A" w:rsidRPr="00A3350A" w:rsidRDefault="00A3350A" w:rsidP="00A3350A">
      <w:r w:rsidRPr="00A3350A">
        <w:t>Prétexte : Carystos a aidé les Perses, jusqu’à la bataille maritime de l’Artémison. A fourni des trières. La cité est integrée car elle fait face à l’île d’Andros, point clé pour surveiller la route du Pont vers le centre de l’Egée.</w:t>
      </w:r>
    </w:p>
    <w:p w:rsidR="00A3350A" w:rsidRPr="00A3350A" w:rsidRDefault="00A3350A" w:rsidP="00A3350A"/>
    <w:p w:rsidR="00A3350A" w:rsidRPr="00A3350A" w:rsidRDefault="00A3350A" w:rsidP="00A3350A">
      <w:commentRangeStart w:id="14"/>
      <w:r w:rsidRPr="00A3350A">
        <w:t>4) Naxos</w:t>
      </w:r>
      <w:commentRangeEnd w:id="14"/>
      <w:r>
        <w:rPr>
          <w:rStyle w:val="Marquedannotation"/>
          <w:vanish/>
        </w:rPr>
        <w:commentReference w:id="14"/>
      </w:r>
    </w:p>
    <w:p w:rsidR="00A3350A" w:rsidRPr="00A3350A" w:rsidRDefault="00A3350A" w:rsidP="00A3350A">
      <w:r w:rsidRPr="00A3350A">
        <w:t>« Les Athéniens combatirent contre Naxos qui avait fait défection » (Thucydide). « Ce fut la première cité alliée asservie, contrairement à la règle ». Quelle règle ? Le serment de la ligue de Délos, selon certains historiens ? Ou simplement la coutume, selon d’autres ?</w:t>
      </w:r>
    </w:p>
    <w:p w:rsidR="00A3350A" w:rsidRPr="00A3350A" w:rsidRDefault="00A3350A" w:rsidP="00A3350A">
      <w:r w:rsidRPr="00A3350A">
        <w:t>Athènes innove ici, en « asservissant » Naxos. C’est sans doute une métaphore. La population de Naxos ne va pas être réduite en esclavage. Mais elle doit préter serment de fidélité aux Athéniens. L’asservissement signifique que Naxos doit juste verser des indemnités et livrer sa flotte, ou qu’on lui a supprimé sa voix au conseil de Délos. Ce ne sont que des hypothèses. Naxos perd son autonomia. Elle ne perd pas sa personnalité civique, mais la possibilité de négocier le montant du phoros.</w:t>
      </w:r>
    </w:p>
    <w:p w:rsidR="00A3350A" w:rsidRPr="00A3350A" w:rsidRDefault="00A3350A" w:rsidP="00A3350A">
      <w:r w:rsidRPr="00A3350A">
        <w:t>Athènes sort ainsi de son rôle de cité alliée. Elle devient celle qui détient l’archè.</w:t>
      </w:r>
    </w:p>
    <w:p w:rsidR="00A3350A" w:rsidRPr="00A3350A" w:rsidRDefault="00A3350A" w:rsidP="00A3350A"/>
    <w:p w:rsidR="00A3350A" w:rsidRPr="00A3350A" w:rsidRDefault="00A3350A" w:rsidP="00A3350A">
      <w:commentRangeStart w:id="15"/>
      <w:r w:rsidRPr="00A3350A">
        <w:t>5) Thasos</w:t>
      </w:r>
      <w:commentRangeEnd w:id="15"/>
      <w:r>
        <w:rPr>
          <w:rStyle w:val="Marquedannotation"/>
          <w:vanish/>
        </w:rPr>
        <w:commentReference w:id="15"/>
      </w:r>
    </w:p>
    <w:p w:rsidR="00A3350A" w:rsidRPr="00A3350A" w:rsidRDefault="00A3350A" w:rsidP="00A3350A">
      <w:r w:rsidRPr="00A3350A">
        <w:t>D’après Thucydide « Plus tard se produisit la défection de Thasos. Cette défection naquit d’un différent relatif au marché de la côte thrace… »</w:t>
      </w:r>
    </w:p>
    <w:p w:rsidR="00A3350A" w:rsidRPr="00A3350A" w:rsidRDefault="00A3350A" w:rsidP="00A3350A">
      <w:r w:rsidRPr="00A3350A">
        <w:t>Les Thasiens sortent de la ligue en raison des prétentions d’Athènes sur leurs revenus miniers et fiscaux. =&gt; 3 années de siège. Au final, les Thasiens traitent avec les Athéniens. Ils abattent leur remparts, donnent leur flotte, versent des indemnités et le phoros selon le montant fixé par Athènes. Thasos renonce à ses possessions sur le littoral de Thrace et à ses mines.</w:t>
      </w:r>
    </w:p>
    <w:p w:rsidR="00A3350A" w:rsidRPr="00A3350A" w:rsidRDefault="00A3350A" w:rsidP="00A3350A">
      <w:r w:rsidRPr="00A3350A">
        <w:t>Après, aucune sortie de la Ligue n’est possible. La victoire de Thasos est donc un tournant. L’autonomie des cités dépend alors de l’hégémôn, d’Athènes. Peu à peu, l’archè d’Athènes lui permet d’accaparer les revenus des autres cités pour son profit.</w:t>
      </w:r>
    </w:p>
    <w:p w:rsidR="00A3350A" w:rsidRPr="00A3350A" w:rsidRDefault="00A3350A" w:rsidP="00A3350A"/>
    <w:p w:rsidR="00A3350A" w:rsidRPr="00A3350A" w:rsidRDefault="00A3350A" w:rsidP="00A3350A">
      <w:commentRangeStart w:id="16"/>
      <w:r w:rsidRPr="00A3350A">
        <w:t>6) Egine (457)</w:t>
      </w:r>
      <w:commentRangeEnd w:id="16"/>
      <w:r>
        <w:rPr>
          <w:rStyle w:val="Marquedannotation"/>
          <w:vanish/>
        </w:rPr>
        <w:commentReference w:id="16"/>
      </w:r>
    </w:p>
    <w:p w:rsidR="00A3350A" w:rsidRPr="00A3350A" w:rsidRDefault="00A3350A" w:rsidP="00A3350A">
      <w:r w:rsidRPr="00A3350A">
        <w:t>Egine est vaincue mais ses conditions sont moins humiliantes, parce qu’Egine a négocié, là où Thasos a capitulé. L’enjeu est le même : prendre le contrôle d’une cité concurrente, la priver de sa flotte et de sa puissance commerciale. L’assujetissement d’Egine se traduit par un acroissement de l’activité du Pirée. A partir de 457, l’archè d’Athènes s’étend sur l’ensemble des cités alliées.</w:t>
      </w:r>
    </w:p>
    <w:p w:rsidR="00A3350A" w:rsidRDefault="00A3350A" w:rsidP="00A3350A"/>
    <w:p w:rsidR="00A3350A" w:rsidRDefault="00A3350A" w:rsidP="00A3350A"/>
    <w:p w:rsidR="002C3DC6" w:rsidRPr="00A3350A" w:rsidRDefault="00A3350A" w:rsidP="00A3350A">
      <w:r>
        <w:t xml:space="preserve">Table des </w:t>
      </w:r>
      <w:commentRangeStart w:id="17"/>
      <w:r>
        <w:t>matières</w:t>
      </w:r>
      <w:commentRangeEnd w:id="17"/>
      <w:r>
        <w:rPr>
          <w:rStyle w:val="Marquedannotation"/>
          <w:vanish/>
        </w:rPr>
        <w:commentReference w:id="17"/>
      </w:r>
      <w:r>
        <w:t> :</w:t>
      </w:r>
    </w:p>
    <w:sectPr w:rsidR="002C3DC6" w:rsidRPr="00A3350A" w:rsidSect="002C3DC6">
      <w:pgSz w:w="11900" w:h="16840"/>
      <w:pgMar w:top="1417" w:right="1417" w:bottom="1417" w:left="1417" w:header="708" w:footer="708" w:gutter="0"/>
      <w:cols w:space="708"/>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0" w:author="Octave Julien" w:date="2010-10-25T20:08:00Z" w:initials="OJ">
    <w:p w:rsidR="000A574E" w:rsidRDefault="000A574E">
      <w:pPr>
        <w:pStyle w:val="Commentaire"/>
      </w:pPr>
      <w:r>
        <w:rPr>
          <w:rStyle w:val="Marquedannotation"/>
        </w:rPr>
        <w:annotationRef/>
      </w:r>
      <w:r>
        <w:t>Appliquer le style « Titre »</w:t>
      </w:r>
    </w:p>
  </w:comment>
  <w:comment w:id="1" w:author="Octave Julien" w:date="2010-10-25T20:13:00Z" w:initials="OJ">
    <w:p w:rsidR="000A574E" w:rsidRDefault="000A574E">
      <w:pPr>
        <w:pStyle w:val="Commentaire"/>
      </w:pPr>
      <w:r>
        <w:rPr>
          <w:rStyle w:val="Marquedannotation"/>
        </w:rPr>
        <w:annotationRef/>
      </w:r>
      <w:r>
        <w:t>Mettre la référence bibliographique en note de bas de page.</w:t>
      </w:r>
    </w:p>
  </w:comment>
  <w:comment w:id="2" w:author="Octave Julien" w:date="2010-10-25T20:25:00Z" w:initials="OJ">
    <w:p w:rsidR="000A574E" w:rsidRDefault="000A574E">
      <w:pPr>
        <w:pStyle w:val="Commentaire"/>
      </w:pPr>
      <w:r>
        <w:rPr>
          <w:rStyle w:val="Marquedannotation"/>
        </w:rPr>
        <w:annotationRef/>
      </w:r>
      <w:r>
        <w:t>Mettre ces cinq éléments dans un tableau de 2 colonnes sur 3 lignes.</w:t>
      </w:r>
    </w:p>
  </w:comment>
  <w:comment w:id="3" w:author="Octave Julien" w:date="2010-10-25T20:15:00Z" w:initials="OJ">
    <w:p w:rsidR="000A574E" w:rsidRDefault="000A574E">
      <w:pPr>
        <w:pStyle w:val="Commentaire"/>
      </w:pPr>
      <w:r>
        <w:rPr>
          <w:rStyle w:val="Marquedannotation"/>
        </w:rPr>
        <w:annotationRef/>
      </w:r>
      <w:r>
        <w:t>Mettre la référence bibliographique en note de bas de page.</w:t>
      </w:r>
    </w:p>
  </w:comment>
  <w:comment w:id="4" w:author="Octave Julien" w:date="2010-10-25T20:08:00Z" w:initials="OJ">
    <w:p w:rsidR="000A574E" w:rsidRDefault="000A574E">
      <w:pPr>
        <w:pStyle w:val="Commentaire"/>
      </w:pPr>
      <w:r>
        <w:rPr>
          <w:rStyle w:val="Marquedannotation"/>
        </w:rPr>
        <w:annotationRef/>
      </w:r>
      <w:r>
        <w:t>Appliquer le style « Partie »</w:t>
      </w:r>
    </w:p>
  </w:comment>
  <w:comment w:id="5" w:author="Octave Julien" w:date="2010-10-25T20:09:00Z" w:initials="OJ">
    <w:p w:rsidR="000A574E" w:rsidRDefault="000A574E">
      <w:pPr>
        <w:pStyle w:val="Commentaire"/>
      </w:pPr>
      <w:r>
        <w:rPr>
          <w:rStyle w:val="Marquedannotation"/>
        </w:rPr>
        <w:annotationRef/>
      </w:r>
      <w:r>
        <w:t>Appliquer le style « Sous-partie »</w:t>
      </w:r>
    </w:p>
  </w:comment>
  <w:comment w:id="6" w:author="Octave Julien" w:date="2010-10-25T20:09:00Z" w:initials="OJ">
    <w:p w:rsidR="000A574E" w:rsidRDefault="000A574E">
      <w:pPr>
        <w:pStyle w:val="Commentaire"/>
      </w:pPr>
      <w:r>
        <w:rPr>
          <w:rStyle w:val="Marquedannotation"/>
        </w:rPr>
        <w:annotationRef/>
      </w:r>
      <w:r>
        <w:t>Appliquer le style « sous-partie »</w:t>
      </w:r>
    </w:p>
  </w:comment>
  <w:comment w:id="7" w:author="Octave Julien" w:date="2010-10-25T20:09:00Z" w:initials="OJ">
    <w:p w:rsidR="000A574E" w:rsidRDefault="000A574E">
      <w:pPr>
        <w:pStyle w:val="Commentaire"/>
      </w:pPr>
      <w:r>
        <w:rPr>
          <w:rStyle w:val="Marquedannotation"/>
        </w:rPr>
        <w:annotationRef/>
      </w:r>
      <w:r>
        <w:t>Appliquer le style « sous-partie »</w:t>
      </w:r>
    </w:p>
  </w:comment>
  <w:comment w:id="8" w:author="Octave Julien" w:date="2010-10-25T20:20:00Z" w:initials="OJ">
    <w:p w:rsidR="000A574E" w:rsidRDefault="000A574E">
      <w:pPr>
        <w:pStyle w:val="Commentaire"/>
      </w:pPr>
      <w:r>
        <w:rPr>
          <w:rStyle w:val="Marquedannotation"/>
        </w:rPr>
        <w:annotationRef/>
      </w:r>
      <w:r>
        <w:t>Cette sous-partie est un peu monolithique. Améliorer la présentation en introduisant des alinéas.</w:t>
      </w:r>
    </w:p>
  </w:comment>
  <w:comment w:id="10" w:author="Octave Julien" w:date="2010-10-25T20:11:00Z" w:initials="OJ">
    <w:p w:rsidR="000A574E" w:rsidRDefault="000A574E">
      <w:pPr>
        <w:pStyle w:val="Commentaire"/>
      </w:pPr>
      <w:r>
        <w:rPr>
          <w:rStyle w:val="Marquedannotation"/>
        </w:rPr>
        <w:annotationRef/>
      </w:r>
      <w:r>
        <w:t>Insérer un saut de page.</w:t>
      </w:r>
    </w:p>
  </w:comment>
  <w:comment w:id="9" w:author="Octave Julien" w:date="2010-10-25T20:09:00Z" w:initials="OJ">
    <w:p w:rsidR="000A574E" w:rsidRDefault="000A574E">
      <w:pPr>
        <w:pStyle w:val="Commentaire"/>
      </w:pPr>
      <w:r>
        <w:rPr>
          <w:rStyle w:val="Marquedannotation"/>
        </w:rPr>
        <w:annotationRef/>
      </w:r>
      <w:r>
        <w:t>Appliquer le style « Partie »</w:t>
      </w:r>
    </w:p>
  </w:comment>
  <w:comment w:id="11" w:author="Octave Julien" w:date="2010-10-25T20:09:00Z" w:initials="OJ">
    <w:p w:rsidR="000A574E" w:rsidRDefault="000A574E">
      <w:pPr>
        <w:pStyle w:val="Commentaire"/>
      </w:pPr>
      <w:r>
        <w:rPr>
          <w:rStyle w:val="Marquedannotation"/>
        </w:rPr>
        <w:annotationRef/>
      </w:r>
      <w:r>
        <w:t>Appliquer le style « sous-partie »</w:t>
      </w:r>
    </w:p>
  </w:comment>
  <w:comment w:id="12" w:author="Octave Julien" w:date="2010-10-25T20:10:00Z" w:initials="OJ">
    <w:p w:rsidR="000A574E" w:rsidRDefault="000A574E">
      <w:pPr>
        <w:pStyle w:val="Commentaire"/>
      </w:pPr>
      <w:r>
        <w:rPr>
          <w:rStyle w:val="Marquedannotation"/>
        </w:rPr>
        <w:annotationRef/>
      </w:r>
      <w:r>
        <w:t>Appliquer le style « sous-partie »</w:t>
      </w:r>
    </w:p>
  </w:comment>
  <w:comment w:id="13" w:author="Octave Julien" w:date="2010-10-25T20:10:00Z" w:initials="OJ">
    <w:p w:rsidR="000A574E" w:rsidRDefault="000A574E">
      <w:pPr>
        <w:pStyle w:val="Commentaire"/>
      </w:pPr>
      <w:r>
        <w:rPr>
          <w:rStyle w:val="Marquedannotation"/>
        </w:rPr>
        <w:annotationRef/>
      </w:r>
      <w:r>
        <w:t>Appliquer le style « sous-partie »</w:t>
      </w:r>
    </w:p>
  </w:comment>
  <w:comment w:id="14" w:author="Octave Julien" w:date="2010-10-25T20:10:00Z" w:initials="OJ">
    <w:p w:rsidR="000A574E" w:rsidRDefault="000A574E">
      <w:pPr>
        <w:pStyle w:val="Commentaire"/>
      </w:pPr>
      <w:r>
        <w:rPr>
          <w:rStyle w:val="Marquedannotation"/>
        </w:rPr>
        <w:annotationRef/>
      </w:r>
      <w:r>
        <w:t>Appliquer le style « sous-partie »</w:t>
      </w:r>
    </w:p>
  </w:comment>
  <w:comment w:id="15" w:author="Octave Julien" w:date="2010-10-25T20:10:00Z" w:initials="OJ">
    <w:p w:rsidR="000A574E" w:rsidRDefault="000A574E">
      <w:pPr>
        <w:pStyle w:val="Commentaire"/>
      </w:pPr>
      <w:r>
        <w:rPr>
          <w:rStyle w:val="Marquedannotation"/>
        </w:rPr>
        <w:annotationRef/>
      </w:r>
      <w:r>
        <w:t>Appliquer le style « sous-partie »</w:t>
      </w:r>
    </w:p>
  </w:comment>
  <w:comment w:id="16" w:author="Octave Julien" w:date="2010-10-25T20:10:00Z" w:initials="OJ">
    <w:p w:rsidR="000A574E" w:rsidRDefault="000A574E">
      <w:pPr>
        <w:pStyle w:val="Commentaire"/>
      </w:pPr>
      <w:r>
        <w:rPr>
          <w:rStyle w:val="Marquedannotation"/>
        </w:rPr>
        <w:annotationRef/>
      </w:r>
      <w:r>
        <w:t>Appliquer le style « sous-partie »</w:t>
      </w:r>
    </w:p>
  </w:comment>
  <w:comment w:id="17" w:author="Octave Julien" w:date="2010-10-25T20:11:00Z" w:initials="OJ">
    <w:p w:rsidR="000A574E" w:rsidRDefault="000A574E">
      <w:pPr>
        <w:pStyle w:val="Commentaire"/>
      </w:pPr>
      <w:r>
        <w:rPr>
          <w:rStyle w:val="Marquedannotation"/>
        </w:rPr>
        <w:annotationRef/>
      </w:r>
      <w:r>
        <w:t>Faire la table des matières.</w:t>
      </w:r>
    </w:p>
  </w:comment>
</w:comment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0"/>
    <w:multiLevelType w:val="singleLevel"/>
    <w:tmpl w:val="F0CA383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C8B2D7E8"/>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415A7D66"/>
    <w:lvl w:ilvl="0">
      <w:start w:val="1"/>
      <w:numFmt w:val="bullet"/>
      <w:lvlText w:val=""/>
      <w:lvlJc w:val="left"/>
      <w:pPr>
        <w:tabs>
          <w:tab w:val="num" w:pos="926"/>
        </w:tabs>
        <w:ind w:left="926" w:hanging="360"/>
      </w:pPr>
      <w:rPr>
        <w:rFonts w:ascii="Symbol" w:hAnsi="Symbol" w:hint="default"/>
      </w:rPr>
    </w:lvl>
  </w:abstractNum>
  <w:abstractNum w:abstractNumId="3">
    <w:nsid w:val="FFFFFF88"/>
    <w:multiLevelType w:val="singleLevel"/>
    <w:tmpl w:val="FEB4DC08"/>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revisionView w:markup="0"/>
  <w:doNotTrackMoves/>
  <w:defaultTabStop w:val="709"/>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3350A"/>
    <w:rsid w:val="000A574E"/>
    <w:rsid w:val="002A220C"/>
    <w:rsid w:val="002C3DC6"/>
    <w:rsid w:val="009F176A"/>
    <w:rsid w:val="00A3350A"/>
    <w:rsid w:val="00B701FF"/>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50A"/>
    <w:rPr>
      <w:rFonts w:ascii="Times New Roman" w:eastAsia="Times New Roman" w:hAnsi="Times New Roman" w:cs="Times New Roman"/>
      <w:lang w:eastAsia="fr-FR"/>
    </w:rPr>
  </w:style>
  <w:style w:type="paragraph" w:styleId="Titre1">
    <w:name w:val="heading 1"/>
    <w:basedOn w:val="Normal"/>
    <w:next w:val="Normal"/>
    <w:link w:val="Titre1Car"/>
    <w:qFormat/>
    <w:rsid w:val="00A3350A"/>
    <w:pPr>
      <w:keepNext/>
      <w:spacing w:before="240" w:after="60"/>
      <w:jc w:val="center"/>
      <w:outlineLvl w:val="0"/>
    </w:pPr>
    <w:rPr>
      <w:rFonts w:ascii="Arial" w:hAnsi="Arial"/>
      <w:b/>
      <w:kern w:val="32"/>
      <w:sz w:val="32"/>
      <w:szCs w:val="32"/>
    </w:rPr>
  </w:style>
  <w:style w:type="paragraph" w:styleId="Titre2">
    <w:name w:val="heading 2"/>
    <w:basedOn w:val="Normal"/>
    <w:next w:val="Normal"/>
    <w:link w:val="Titre2Car"/>
    <w:qFormat/>
    <w:rsid w:val="00A3350A"/>
    <w:pPr>
      <w:keepNext/>
      <w:spacing w:before="240" w:after="60"/>
      <w:jc w:val="center"/>
      <w:outlineLvl w:val="1"/>
    </w:pPr>
    <w:rPr>
      <w:rFonts w:ascii="Arial" w:hAnsi="Arial"/>
      <w:b/>
      <w:i/>
      <w:sz w:val="28"/>
      <w:szCs w:val="28"/>
    </w:rPr>
  </w:style>
  <w:style w:type="paragraph" w:styleId="Titre3">
    <w:name w:val="heading 3"/>
    <w:basedOn w:val="Normal"/>
    <w:next w:val="Normal"/>
    <w:link w:val="Titre3Car"/>
    <w:qFormat/>
    <w:rsid w:val="00A3350A"/>
    <w:pPr>
      <w:keepNext/>
      <w:spacing w:before="240" w:after="60"/>
      <w:jc w:val="center"/>
      <w:outlineLvl w:val="2"/>
    </w:pPr>
    <w:rPr>
      <w:rFonts w:ascii="Arial" w:hAnsi="Arial"/>
      <w:b/>
      <w:sz w:val="26"/>
      <w:szCs w:val="26"/>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A3350A"/>
    <w:rPr>
      <w:rFonts w:ascii="Arial" w:eastAsia="Times New Roman" w:hAnsi="Arial" w:cs="Times New Roman"/>
      <w:b/>
      <w:kern w:val="32"/>
      <w:sz w:val="32"/>
      <w:szCs w:val="32"/>
      <w:lang w:eastAsia="fr-FR"/>
    </w:rPr>
  </w:style>
  <w:style w:type="character" w:customStyle="1" w:styleId="Titre2Car">
    <w:name w:val="Titre 2 Car"/>
    <w:basedOn w:val="Policepardfaut"/>
    <w:link w:val="Titre2"/>
    <w:rsid w:val="00A3350A"/>
    <w:rPr>
      <w:rFonts w:ascii="Arial" w:eastAsia="Times New Roman" w:hAnsi="Arial" w:cs="Times New Roman"/>
      <w:b/>
      <w:i/>
      <w:sz w:val="28"/>
      <w:szCs w:val="28"/>
      <w:lang w:eastAsia="fr-FR"/>
    </w:rPr>
  </w:style>
  <w:style w:type="character" w:customStyle="1" w:styleId="Titre3Car">
    <w:name w:val="Titre 3 Car"/>
    <w:basedOn w:val="Policepardfaut"/>
    <w:link w:val="Titre3"/>
    <w:rsid w:val="00A3350A"/>
    <w:rPr>
      <w:rFonts w:ascii="Arial" w:eastAsia="Times New Roman" w:hAnsi="Arial" w:cs="Times New Roman"/>
      <w:b/>
      <w:sz w:val="26"/>
      <w:szCs w:val="26"/>
      <w:lang w:eastAsia="fr-FR"/>
    </w:rPr>
  </w:style>
  <w:style w:type="paragraph" w:customStyle="1" w:styleId="Partie">
    <w:name w:val="Partie"/>
    <w:basedOn w:val="Normal"/>
    <w:next w:val="Normal"/>
    <w:rsid w:val="00A3350A"/>
    <w:rPr>
      <w:b/>
      <w:sz w:val="28"/>
      <w:u w:val="single"/>
    </w:rPr>
  </w:style>
  <w:style w:type="paragraph" w:customStyle="1" w:styleId="Sous-partie">
    <w:name w:val="Sous-partie"/>
    <w:basedOn w:val="Normal"/>
    <w:next w:val="Normal"/>
    <w:rsid w:val="00A3350A"/>
    <w:pPr>
      <w:ind w:left="708"/>
    </w:pPr>
    <w:rPr>
      <w:b/>
    </w:rPr>
  </w:style>
  <w:style w:type="paragraph" w:customStyle="1" w:styleId="Sous-sous-partie">
    <w:name w:val="Sous-sous-partie"/>
    <w:basedOn w:val="Normal"/>
    <w:next w:val="Normal"/>
    <w:rsid w:val="00A3350A"/>
    <w:pPr>
      <w:ind w:left="1416"/>
    </w:pPr>
    <w:rPr>
      <w:i/>
    </w:rPr>
  </w:style>
  <w:style w:type="table" w:styleId="Grille">
    <w:name w:val="Table Grid"/>
    <w:basedOn w:val="TableauNormal"/>
    <w:rsid w:val="00A3350A"/>
    <w:rPr>
      <w:rFonts w:ascii="Times New Roman" w:eastAsia="Times New Roman" w:hAnsi="Times New Roman" w:cs="Times New Roman"/>
      <w:sz w:val="20"/>
      <w:szCs w:val="20"/>
      <w:lang w:val="en-GB"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semiHidden/>
    <w:rsid w:val="00A3350A"/>
    <w:pPr>
      <w:tabs>
        <w:tab w:val="center" w:pos="4536"/>
        <w:tab w:val="right" w:pos="9072"/>
      </w:tabs>
    </w:pPr>
  </w:style>
  <w:style w:type="character" w:customStyle="1" w:styleId="PieddepageCar">
    <w:name w:val="Pied de page Car"/>
    <w:basedOn w:val="Policepardfaut"/>
    <w:link w:val="Pieddepage"/>
    <w:semiHidden/>
    <w:rsid w:val="00A3350A"/>
    <w:rPr>
      <w:rFonts w:ascii="Times New Roman" w:eastAsia="Times New Roman" w:hAnsi="Times New Roman" w:cs="Times New Roman"/>
      <w:lang w:eastAsia="fr-FR"/>
    </w:rPr>
  </w:style>
  <w:style w:type="character" w:styleId="Numrodepage">
    <w:name w:val="page number"/>
    <w:basedOn w:val="Policepardfaut"/>
    <w:rsid w:val="00A3350A"/>
  </w:style>
  <w:style w:type="character" w:styleId="Marquedannotation">
    <w:name w:val="annotation reference"/>
    <w:basedOn w:val="Policepardfaut"/>
    <w:uiPriority w:val="99"/>
    <w:semiHidden/>
    <w:unhideWhenUsed/>
    <w:rsid w:val="00A3350A"/>
    <w:rPr>
      <w:sz w:val="18"/>
      <w:szCs w:val="18"/>
    </w:rPr>
  </w:style>
  <w:style w:type="paragraph" w:styleId="Commentaire">
    <w:name w:val="annotation text"/>
    <w:basedOn w:val="Normal"/>
    <w:link w:val="CommentaireCar"/>
    <w:uiPriority w:val="99"/>
    <w:semiHidden/>
    <w:unhideWhenUsed/>
    <w:rsid w:val="00A3350A"/>
  </w:style>
  <w:style w:type="character" w:customStyle="1" w:styleId="CommentaireCar">
    <w:name w:val="Commentaire Car"/>
    <w:basedOn w:val="Policepardfaut"/>
    <w:link w:val="Commentaire"/>
    <w:uiPriority w:val="99"/>
    <w:semiHidden/>
    <w:rsid w:val="00A3350A"/>
    <w:rPr>
      <w:rFonts w:ascii="Times New Roman" w:eastAsia="Times New Roman" w:hAnsi="Times New Roman" w:cs="Times New Roman"/>
      <w:lang w:eastAsia="fr-FR"/>
    </w:rPr>
  </w:style>
  <w:style w:type="paragraph" w:styleId="Objetducommentaire">
    <w:name w:val="annotation subject"/>
    <w:basedOn w:val="Commentaire"/>
    <w:next w:val="Commentaire"/>
    <w:link w:val="ObjetducommentaireCar"/>
    <w:uiPriority w:val="99"/>
    <w:semiHidden/>
    <w:unhideWhenUsed/>
    <w:rsid w:val="00A3350A"/>
    <w:rPr>
      <w:b/>
      <w:bCs/>
      <w:sz w:val="20"/>
      <w:szCs w:val="20"/>
    </w:rPr>
  </w:style>
  <w:style w:type="character" w:customStyle="1" w:styleId="ObjetducommentaireCar">
    <w:name w:val="Objet du commentaire Car"/>
    <w:basedOn w:val="CommentaireCar"/>
    <w:link w:val="Objetducommentaire"/>
    <w:uiPriority w:val="99"/>
    <w:semiHidden/>
    <w:rsid w:val="00A3350A"/>
    <w:rPr>
      <w:b/>
      <w:bCs/>
      <w:sz w:val="20"/>
      <w:szCs w:val="20"/>
    </w:rPr>
  </w:style>
  <w:style w:type="paragraph" w:styleId="Textedebulles">
    <w:name w:val="Balloon Text"/>
    <w:basedOn w:val="Normal"/>
    <w:link w:val="TextedebullesCar"/>
    <w:uiPriority w:val="99"/>
    <w:semiHidden/>
    <w:unhideWhenUsed/>
    <w:rsid w:val="00A3350A"/>
    <w:rPr>
      <w:rFonts w:ascii="Lucida Grande" w:hAnsi="Lucida Grande"/>
      <w:sz w:val="18"/>
      <w:szCs w:val="18"/>
    </w:rPr>
  </w:style>
  <w:style w:type="character" w:customStyle="1" w:styleId="TextedebullesCar">
    <w:name w:val="Texte de bulles Car"/>
    <w:basedOn w:val="Policepardfaut"/>
    <w:link w:val="Textedebulles"/>
    <w:uiPriority w:val="99"/>
    <w:semiHidden/>
    <w:rsid w:val="00A3350A"/>
    <w:rPr>
      <w:rFonts w:ascii="Lucida Grande" w:eastAsia="Times New Roman" w:hAnsi="Lucida Grande" w:cs="Times New Roman"/>
      <w:sz w:val="18"/>
      <w:szCs w:val="18"/>
      <w:lang w:eastAsia="fr-F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1522</Words>
  <Characters>8678</Characters>
  <Application>Microsoft Word 12.1.0</Application>
  <DocSecurity>0</DocSecurity>
  <Lines>72</Lines>
  <Paragraphs>17</Paragraphs>
  <ScaleCrop>false</ScaleCrop>
  <LinksUpToDate>false</LinksUpToDate>
  <CharactersWithSpaces>10657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Octave Julien</dc:creator>
  <cp:keywords/>
  <cp:lastModifiedBy>Octave Julien</cp:lastModifiedBy>
  <cp:revision>4</cp:revision>
  <dcterms:created xsi:type="dcterms:W3CDTF">2010-10-25T18:02:00Z</dcterms:created>
  <dcterms:modified xsi:type="dcterms:W3CDTF">2010-10-25T18:40:00Z</dcterms:modified>
</cp:coreProperties>
</file>